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15" w:type="dxa"/>
        <w:tblInd w:w="-5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4111"/>
      </w:tblGrid>
      <w:tr w:rsidR="004920C5" w:rsidRPr="004920C5" w:rsidTr="004920C5">
        <w:trPr>
          <w:tblCellSpacing w:w="15" w:type="dxa"/>
        </w:trPr>
        <w:tc>
          <w:tcPr>
            <w:tcW w:w="5909" w:type="dxa"/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92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 подзаконного акта Минтруда</w:t>
            </w:r>
          </w:p>
        </w:tc>
        <w:tc>
          <w:tcPr>
            <w:tcW w:w="4066" w:type="dxa"/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работодателю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рекомендаций по учету микроповреждений (микротравм) работников»   </w:t>
            </w:r>
            <w:hyperlink r:id="rId6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https://regulation.gov.ru/projects#npa=117010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с учетом мнения профсоюза или представительного органа работников Положение об учете микротравм работников, также указав место и срок хранения справки и журнала регистрации микротравм. Ознакомить с Положением работников организации.  Провести внеплановый инструктаж с работниками о введении новой процедуры. </w:t>
            </w: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положение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базе охраны труда организации, либо на стенде.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требований к порядку разработки и содержанию правил (стандартов) и инструкций по охране труда, разрабатываемых работодателем»  </w:t>
            </w:r>
            <w:hyperlink r:id="rId7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https://regulation.gov.ru/projects#npa=117405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инструкции по охране труда с учетом новых требований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примерного положения о комитете (комиссии) по охране труда»  </w:t>
            </w:r>
            <w:hyperlink r:id="rId8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https://regulation.gov.ru/projects#npa=112631 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Обновить положение о комитете (комиссии по охране труда) в организации. Комитет создается по инициативе от работников или работодателя. Если таковой нет, обязанности </w:t>
            </w: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комитет по труду нет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отсутствии в организации комитета, работодатель в положении о СУОТ должен указать, каким образом работники принимают участие в управлении охраной труда и контроле соблюдения требований ОТ.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общих требований к организации безопасного рабочего места»  </w:t>
            </w:r>
            <w:hyperlink r:id="rId9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https://regulation.gov.ru/projects#npa=117305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рабочие места в соответствии с новыми требованиями безопасности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“Об утверждении единых Типовых норм выдачи средств индивидуальной защиты и смывающих средств” </w:t>
            </w:r>
            <w:hyperlink r:id="rId10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https://regulation.gov.ru/projects#npa=112556</w:t>
              </w:r>
            </w:hyperlink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                                                                                                     “Об утверждении Правил обеспечения работников средствами индивидуальной защиты и смывающими средствами”  </w:t>
            </w:r>
            <w:hyperlink r:id="rId11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https://regulation.gov.ru/projects#npa=112554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нормы выдачи </w:t>
            </w: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работникам с учетом новых требований. ЕТН будут действовать с 1 июля 2024 года с переходным периодом с 1 июля по 31 декабря 2024 года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  </w:t>
            </w:r>
            <w:hyperlink r:id="rId12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https://regulation.gov.ru/projects#npa=114703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положение о расследовании несчастных случаев на производстве. Проводить расследование с учетом новых требований.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Федеральный закон «О специальной оценке условий труда» в части </w:t>
            </w: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совершенствования оказания государственных услуг и цифровой трансформации»  </w:t>
            </w:r>
            <w:hyperlink r:id="rId13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https://regulation.gov.ru/projects#npa=117323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работодателям требований нет, но для экспертных организаций </w:t>
            </w: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ожидаются следующие изменения:  аттестации экспертов; предоставления сведений об экспертном составе, аккредитации испытательной лаборатории (центра); оформления результатов проведения </w:t>
            </w:r>
            <w:proofErr w:type="spell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спецоценки</w:t>
            </w:r>
            <w:proofErr w:type="spell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  рассмотрения разногласий по результатам экспертизы качества СОУТ.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утверждении Рекомендаций по структуре службы охраны труда в организации и численности работников службы охраны труда»  </w:t>
            </w:r>
            <w:hyperlink r:id="rId14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https://regulation.gov.ru/projects#npa=117381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формировать службу охраны труда необходимым количеством специалистов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Перечня вредных производственных факторов на рабочих местах, на которых по результатам проведения специальной оценки условий труда установлены вредные условия труда и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эквивалентном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молока или других равноценных пищевых продуктов»  </w:t>
            </w:r>
            <w:hyperlink r:id="rId15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https://regulation.gov.ru/projects#npa=113096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локальные нормативные акты организации с учетом новых НПА, но кардинальных изменений не ожидается.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перечня видов работ, при выполнении которых работникам предоставляется бесплатно по установленным нормам лечебно-профилактическое питание, а также норм и условий бесплатной выдачи лечебно-профилактического питания»  </w:t>
            </w:r>
            <w:hyperlink r:id="rId16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https://regulation.gov.ru/projects#npa=113088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локальные нормативные акты организации с учетом новых НПА, но кардинальных изменений не ожидается.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примерного перечня ежегодно реализуемых работодателем мероприятий по улучшению условий и охраны труда и снижению уровней профессиональных рисков»   </w:t>
            </w:r>
            <w:hyperlink r:id="rId17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https://regulation.gov.ru/projects#npa=112538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подготавливать перечень мероприятий по улучшению условий и охраны труда и снижению уровней профессиональных рисков.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примерного перечня мероприятий по предотвращению случаев повреждения здоровья работников»   </w:t>
            </w:r>
            <w:hyperlink r:id="rId18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https://regulation.gov.ru/projects#npa=112541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видео и </w:t>
            </w:r>
            <w:proofErr w:type="spell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аудиофиксации</w:t>
            </w:r>
            <w:proofErr w:type="spell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технологических процессов, подготовить Положение о видеонаблюдении. Проинформировать работников о камерах. Установить информационные таблички или указатели, по которым сотрудник поймет, что в помещении ведется видеонаблюдение. Обеспечить </w:t>
            </w:r>
            <w:proofErr w:type="gramStart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безопасным производством работ с помощью видео и аудио фиксации процессов. Продумать схему и оснащение санитарно-бытовых помещений и </w:t>
            </w: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медицинским обеспечением работников.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 утверждении предельно допустимых норм нагрузок для женщин при подъеме и перемещении тяжестей вручную»  </w:t>
            </w:r>
            <w:hyperlink r:id="rId19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https://regulation.gov.ru/projects#npa=112517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Улучшить условия труда и внести изменения в ЛНА (инструкции по охране труда)</w:t>
            </w: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типовых форм документов, необходимых для проведения государственной экспертизы условий труда»  </w:t>
            </w:r>
            <w:hyperlink r:id="rId20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https://regulation.gov.ru/projects#npa=112778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Порядка разработки, утверждения и изменения государственных нормативных требований охраны труда»  </w:t>
            </w:r>
            <w:hyperlink r:id="rId21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https://regulation.gov.ru/projects#npa=112483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20C5" w:rsidRPr="004920C5" w:rsidTr="004920C5">
        <w:trPr>
          <w:tblCellSpacing w:w="15" w:type="dxa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форм (способов) и рекомендаций по размещению работодателем информационных материалов в целях информирования работников об их трудовых правах, включая права на безопасные условия и охрану труда, и примерного перечня таких информационных материалов»  </w:t>
            </w:r>
            <w:hyperlink r:id="rId22" w:history="1">
              <w:r w:rsidRPr="004920C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https://regulation.gov.ru/projects#npa=117232</w:t>
              </w:r>
            </w:hyperlink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C5" w:rsidRPr="004920C5" w:rsidRDefault="004920C5" w:rsidP="00492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работников любыми из перечисленных способов о гарантиях и компенсациях, безопасных условиях труда, оценке уровня риска и т.д.</w:t>
            </w:r>
          </w:p>
        </w:tc>
      </w:tr>
    </w:tbl>
    <w:p w:rsidR="00E12CDB" w:rsidRDefault="00961E89">
      <w:r>
        <w:t>Телефон Корнеева Яна Александровна</w:t>
      </w:r>
    </w:p>
    <w:p w:rsidR="00961E89" w:rsidRDefault="00961E89">
      <w:r>
        <w:t>334-58-12</w:t>
      </w:r>
    </w:p>
    <w:p w:rsidR="00961E89" w:rsidRDefault="00961E89">
      <w:r>
        <w:t>89276860126</w:t>
      </w:r>
    </w:p>
    <w:sectPr w:rsidR="0096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63"/>
    <w:rsid w:val="00405AAC"/>
    <w:rsid w:val="00467363"/>
    <w:rsid w:val="004920C5"/>
    <w:rsid w:val="00785F37"/>
    <w:rsid w:val="00961E89"/>
    <w:rsid w:val="00B7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2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projects%23npa=112631&#160;" TargetMode="External"/><Relationship Id="rId13" Type="http://schemas.openxmlformats.org/officeDocument/2006/relationships/hyperlink" Target="https://regulation.gov.ru/projects%23npa=117323" TargetMode="External"/><Relationship Id="rId18" Type="http://schemas.openxmlformats.org/officeDocument/2006/relationships/hyperlink" Target="https://regulation.gov.ru/projects%23npa=11254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gulation.gov.ru/projects%23npa=112483" TargetMode="External"/><Relationship Id="rId7" Type="http://schemas.openxmlformats.org/officeDocument/2006/relationships/hyperlink" Target="https://regulation.gov.ru/projects%23npa=117405" TargetMode="External"/><Relationship Id="rId12" Type="http://schemas.openxmlformats.org/officeDocument/2006/relationships/hyperlink" Target="https://regulation.gov.ru/projects%23npa=114703" TargetMode="External"/><Relationship Id="rId17" Type="http://schemas.openxmlformats.org/officeDocument/2006/relationships/hyperlink" Target="https://regulation.gov.ru/projects%23npa=1125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ulation.gov.ru/projects%23npa=113088" TargetMode="External"/><Relationship Id="rId20" Type="http://schemas.openxmlformats.org/officeDocument/2006/relationships/hyperlink" Target="https://regulation.gov.ru/projects%23npa=1127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gulation.gov.ru/projects%23npa=117010" TargetMode="External"/><Relationship Id="rId11" Type="http://schemas.openxmlformats.org/officeDocument/2006/relationships/hyperlink" Target="https://regulation.gov.ru/projects%23npa=1125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ulation.gov.ru/projects%23npa=11309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gulation.gov.ru/projects%23npa=112556" TargetMode="External"/><Relationship Id="rId19" Type="http://schemas.openxmlformats.org/officeDocument/2006/relationships/hyperlink" Target="https://regulation.gov.ru/projects%23npa=112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gov.ru/projects%23npa=117305" TargetMode="External"/><Relationship Id="rId14" Type="http://schemas.openxmlformats.org/officeDocument/2006/relationships/hyperlink" Target="https://regulation.gov.ru/projects%23npa=117381" TargetMode="External"/><Relationship Id="rId22" Type="http://schemas.openxmlformats.org/officeDocument/2006/relationships/hyperlink" Target="https://regulation.gov.ru/projects%23npa=117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12DD-3AFD-4AB7-917F-A05F21E6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Корнеева Яна Александровна</dc:creator>
  <cp:lastModifiedBy>Балмышева Дарья Викторовна</cp:lastModifiedBy>
  <cp:revision>2</cp:revision>
  <dcterms:created xsi:type="dcterms:W3CDTF">2021-12-02T07:54:00Z</dcterms:created>
  <dcterms:modified xsi:type="dcterms:W3CDTF">2021-12-02T07:54:00Z</dcterms:modified>
</cp:coreProperties>
</file>