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51" w:rsidRDefault="00146E51" w:rsidP="00A229A6">
      <w:pPr>
        <w:jc w:val="center"/>
        <w:rPr>
          <w:b/>
          <w:sz w:val="28"/>
          <w:szCs w:val="28"/>
          <w:lang w:val="ru-RU"/>
        </w:rPr>
      </w:pPr>
    </w:p>
    <w:p w:rsidR="00A229A6" w:rsidRDefault="00A229A6" w:rsidP="00A229A6">
      <w:pPr>
        <w:jc w:val="center"/>
        <w:rPr>
          <w:b/>
          <w:sz w:val="28"/>
          <w:szCs w:val="28"/>
          <w:lang w:val="ru-RU"/>
        </w:rPr>
      </w:pPr>
      <w:r w:rsidRPr="00A229A6">
        <w:rPr>
          <w:b/>
          <w:sz w:val="28"/>
          <w:szCs w:val="28"/>
          <w:lang w:val="ru-RU"/>
        </w:rPr>
        <w:t>Кто и где проходит аттестацию по пром</w:t>
      </w:r>
      <w:r w:rsidR="00146E51">
        <w:rPr>
          <w:b/>
          <w:sz w:val="28"/>
          <w:szCs w:val="28"/>
          <w:lang w:val="ru-RU"/>
        </w:rPr>
        <w:t xml:space="preserve">ышленной </w:t>
      </w:r>
      <w:r w:rsidRPr="00A229A6">
        <w:rPr>
          <w:b/>
          <w:sz w:val="28"/>
          <w:szCs w:val="28"/>
          <w:lang w:val="ru-RU"/>
        </w:rPr>
        <w:t>безопасности</w:t>
      </w:r>
    </w:p>
    <w:p w:rsidR="00A229A6" w:rsidRDefault="00A229A6" w:rsidP="00A229A6">
      <w:pPr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392"/>
        <w:gridCol w:w="6946"/>
        <w:gridCol w:w="2835"/>
      </w:tblGrid>
      <w:tr w:rsidR="00F103F7" w:rsidRPr="00146E51" w:rsidTr="00A53495">
        <w:tc>
          <w:tcPr>
            <w:tcW w:w="392" w:type="dxa"/>
          </w:tcPr>
          <w:p w:rsidR="00F103F7" w:rsidRPr="00146E51" w:rsidRDefault="00F103F7" w:rsidP="00B407A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:rsidR="00F103F7" w:rsidRPr="00146E51" w:rsidRDefault="00F103F7" w:rsidP="00B407A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46E51">
              <w:rPr>
                <w:b/>
                <w:sz w:val="24"/>
                <w:szCs w:val="24"/>
                <w:lang w:val="ru-RU"/>
              </w:rPr>
              <w:t>Категория работников</w:t>
            </w:r>
          </w:p>
        </w:tc>
        <w:tc>
          <w:tcPr>
            <w:tcW w:w="2835" w:type="dxa"/>
          </w:tcPr>
          <w:p w:rsidR="00F103F7" w:rsidRPr="00146E51" w:rsidRDefault="00F103F7" w:rsidP="00B407A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46E51">
              <w:rPr>
                <w:b/>
                <w:sz w:val="24"/>
                <w:szCs w:val="24"/>
                <w:lang w:val="ru-RU"/>
              </w:rPr>
              <w:t>В каких комиссиях аттестуются</w:t>
            </w:r>
          </w:p>
        </w:tc>
      </w:tr>
      <w:tr w:rsidR="00F103F7" w:rsidRPr="00382F06" w:rsidTr="00A53495">
        <w:tc>
          <w:tcPr>
            <w:tcW w:w="392" w:type="dxa"/>
          </w:tcPr>
          <w:p w:rsidR="00F103F7" w:rsidRPr="00146E51" w:rsidRDefault="00F103F7" w:rsidP="00A229A6">
            <w:pPr>
              <w:pStyle w:val="formattext"/>
            </w:pPr>
            <w:r w:rsidRPr="00146E51">
              <w:t>а</w:t>
            </w:r>
          </w:p>
        </w:tc>
        <w:tc>
          <w:tcPr>
            <w:tcW w:w="6946" w:type="dxa"/>
          </w:tcPr>
          <w:p w:rsidR="00F103F7" w:rsidRPr="00146E51" w:rsidRDefault="00F103F7" w:rsidP="00A229A6">
            <w:pPr>
              <w:pStyle w:val="formattext"/>
            </w:pPr>
            <w:r w:rsidRPr="00146E51">
              <w:rPr>
                <w:b/>
              </w:rPr>
              <w:t>руководители организаций (обособленных подразделений организаций),</w:t>
            </w:r>
            <w:r w:rsidRPr="00146E51">
              <w:t xml:space="preserve"> осуществляющих проектирование, строительство, эксплуатацию, реконструкцию, капитальный ремонт, техническое перевооружение, консервацию и ликвидацию ОПО, а также изготовление, монтаж, наладку, обслуживание и ремонт технических устройств, применяемых на ОПО, проектирование, строительство, капитальный ремонт, эксплуатацию, реконструкцию, консервацию и ликвидацию, а также техническое обслуживание, эксплуатационный контроль и текущий ремонт ГТС, эксплуатацию объектов электроэнергетики и </w:t>
            </w:r>
            <w:proofErr w:type="spellStart"/>
            <w:r w:rsidRPr="00146E51">
              <w:t>энергопринимающих</w:t>
            </w:r>
            <w:proofErr w:type="spellEnd"/>
            <w:r w:rsidRPr="00146E51">
              <w:t xml:space="preserve"> установок, в отношении которых осуществляется федеральный государственный энергетический надзор в сфере электроэнергетики, и оперативно-диспетчерское управление в электроэнергетике, а также индивидуальные предприниматели, осуществляющие профессиональную деятельность, указанную в настоящем подпункте </w:t>
            </w:r>
          </w:p>
        </w:tc>
        <w:tc>
          <w:tcPr>
            <w:tcW w:w="2835" w:type="dxa"/>
          </w:tcPr>
          <w:p w:rsidR="00F103F7" w:rsidRPr="00146E51" w:rsidRDefault="00F103F7" w:rsidP="00B407A0">
            <w:pPr>
              <w:pStyle w:val="formattext"/>
              <w:rPr>
                <w:b/>
              </w:rPr>
            </w:pPr>
            <w:r w:rsidRPr="00146E51">
              <w:t xml:space="preserve">поднадзорные организаций, обеспечивающие безопасность государства (Минобороны, ФСИН, ФСБ, ФСО, внешней разведки, управлению спецпрограмм Президента) – </w:t>
            </w:r>
            <w:r w:rsidRPr="00146E51">
              <w:rPr>
                <w:b/>
              </w:rPr>
              <w:t>в ведомственных</w:t>
            </w:r>
            <w:r w:rsidRPr="00146E51">
              <w:t xml:space="preserve">, все остальные </w:t>
            </w:r>
            <w:proofErr w:type="gramStart"/>
            <w:r w:rsidRPr="00146E51">
              <w:rPr>
                <w:b/>
              </w:rPr>
              <w:t>в</w:t>
            </w:r>
            <w:proofErr w:type="gramEnd"/>
            <w:r w:rsidRPr="00146E51">
              <w:rPr>
                <w:b/>
              </w:rPr>
              <w:t xml:space="preserve"> ТАК Ростехнадзора</w:t>
            </w:r>
            <w:r w:rsidRPr="00146E51">
              <w:t xml:space="preserve"> </w:t>
            </w:r>
          </w:p>
        </w:tc>
      </w:tr>
      <w:tr w:rsidR="00F103F7" w:rsidRPr="00382F06" w:rsidTr="00A53495">
        <w:tc>
          <w:tcPr>
            <w:tcW w:w="392" w:type="dxa"/>
          </w:tcPr>
          <w:p w:rsidR="00F103F7" w:rsidRPr="00146E51" w:rsidRDefault="00F103F7" w:rsidP="00A229A6">
            <w:pPr>
              <w:pStyle w:val="formattext"/>
            </w:pPr>
            <w:r w:rsidRPr="00146E51">
              <w:t>б</w:t>
            </w:r>
          </w:p>
        </w:tc>
        <w:tc>
          <w:tcPr>
            <w:tcW w:w="6946" w:type="dxa"/>
          </w:tcPr>
          <w:p w:rsidR="00F103F7" w:rsidRPr="00146E51" w:rsidRDefault="00F103F7" w:rsidP="00A229A6">
            <w:pPr>
              <w:pStyle w:val="formattext"/>
            </w:pPr>
            <w:r w:rsidRPr="00146E51">
              <w:rPr>
                <w:b/>
              </w:rPr>
              <w:t xml:space="preserve">должностные лица, на которых возложены функции по осуществлению производственного контроля </w:t>
            </w:r>
            <w:r w:rsidRPr="00146E51">
              <w:t>за соблюдением требований промышленной безопасности на ОПО, эксплуатационного контроля и контроля за показателями состояния ГТС, контроля за соблюдением требований безопасности при эксплуатации объектов электроэнергетики, авторского надзора в процессе строительства, реконструкции, капитального ремонта, технического перевооружения, консервации и ликвидации ОПО, ГТС, объектов электроэнергетики, строительного контроля при осуществлении строительства, реконструкции и капитального ремонта опасных производственных объектов, гидротехнических сооружений, объектов электроэнергетики</w:t>
            </w:r>
          </w:p>
        </w:tc>
        <w:tc>
          <w:tcPr>
            <w:tcW w:w="2835" w:type="dxa"/>
          </w:tcPr>
          <w:p w:rsidR="00F103F7" w:rsidRPr="00146E51" w:rsidRDefault="00F103F7" w:rsidP="00B407A0">
            <w:pPr>
              <w:rPr>
                <w:sz w:val="24"/>
                <w:szCs w:val="24"/>
                <w:lang w:val="ru-RU"/>
              </w:rPr>
            </w:pPr>
            <w:r w:rsidRPr="00146E51">
              <w:rPr>
                <w:sz w:val="24"/>
                <w:szCs w:val="24"/>
                <w:lang w:val="ru-RU"/>
              </w:rPr>
              <w:t xml:space="preserve">поднадзорные организаций, обеспечивающие безопасность государства (Минобороны, ФСИН, ФСБ, ФСО, внешней разведки, управлению спецпрограмм Президента) – </w:t>
            </w:r>
            <w:r w:rsidRPr="00146E51">
              <w:rPr>
                <w:b/>
                <w:sz w:val="24"/>
                <w:szCs w:val="24"/>
                <w:lang w:val="ru-RU"/>
              </w:rPr>
              <w:t xml:space="preserve">в ведомственных, </w:t>
            </w:r>
            <w:r w:rsidRPr="00146E51">
              <w:rPr>
                <w:sz w:val="24"/>
                <w:szCs w:val="24"/>
                <w:lang w:val="ru-RU"/>
              </w:rPr>
              <w:t xml:space="preserve">все остальные </w:t>
            </w:r>
            <w:proofErr w:type="gramStart"/>
            <w:r w:rsidRPr="00146E51">
              <w:rPr>
                <w:b/>
                <w:sz w:val="24"/>
                <w:szCs w:val="24"/>
                <w:lang w:val="ru-RU"/>
              </w:rPr>
              <w:t>в</w:t>
            </w:r>
            <w:proofErr w:type="gramEnd"/>
            <w:r w:rsidRPr="00146E51">
              <w:rPr>
                <w:b/>
                <w:sz w:val="24"/>
                <w:szCs w:val="24"/>
                <w:lang w:val="ru-RU"/>
              </w:rPr>
              <w:t xml:space="preserve"> ТАК Ростехнадзора</w:t>
            </w:r>
          </w:p>
        </w:tc>
      </w:tr>
      <w:tr w:rsidR="00F103F7" w:rsidRPr="00382F06" w:rsidTr="00A53495">
        <w:tc>
          <w:tcPr>
            <w:tcW w:w="392" w:type="dxa"/>
          </w:tcPr>
          <w:p w:rsidR="00F103F7" w:rsidRPr="00146E51" w:rsidRDefault="00F103F7" w:rsidP="00CE06A0">
            <w:pPr>
              <w:pStyle w:val="formattext"/>
            </w:pPr>
            <w:r w:rsidRPr="00146E51">
              <w:t>в</w:t>
            </w:r>
          </w:p>
        </w:tc>
        <w:tc>
          <w:tcPr>
            <w:tcW w:w="6946" w:type="dxa"/>
          </w:tcPr>
          <w:p w:rsidR="00F103F7" w:rsidRPr="00146E51" w:rsidRDefault="00F103F7" w:rsidP="00CE06A0">
            <w:pPr>
              <w:pStyle w:val="formattext"/>
            </w:pPr>
            <w:r w:rsidRPr="00146E51">
              <w:rPr>
                <w:b/>
              </w:rPr>
              <w:t>инженерно-технические работники</w:t>
            </w:r>
            <w:r w:rsidRPr="00146E51">
              <w:t>, осуществляющие профессиональную деятельность, предусмотренную:</w:t>
            </w:r>
          </w:p>
          <w:p w:rsidR="00F103F7" w:rsidRPr="00146E51" w:rsidRDefault="00F103F7" w:rsidP="00CE06A0">
            <w:pPr>
              <w:pStyle w:val="formattext"/>
            </w:pPr>
            <w:r w:rsidRPr="00146E51">
              <w:t xml:space="preserve">- пунктом 1 статьи 14_1 Федерального закона "О промышленной безопасности ОПО", </w:t>
            </w:r>
          </w:p>
          <w:p w:rsidR="00F103F7" w:rsidRPr="00146E51" w:rsidRDefault="00F103F7" w:rsidP="00CE06A0">
            <w:pPr>
              <w:pStyle w:val="formattext"/>
            </w:pPr>
            <w:r w:rsidRPr="00146E51">
              <w:t>- частью первой статьи 9_1 Федерального закона "О безопасности ГТС"</w:t>
            </w:r>
            <w:proofErr w:type="gramStart"/>
            <w:r w:rsidRPr="00146E51">
              <w:t xml:space="preserve"> ,</w:t>
            </w:r>
            <w:proofErr w:type="gramEnd"/>
          </w:p>
          <w:p w:rsidR="00F103F7" w:rsidRPr="00146E51" w:rsidRDefault="00F103F7" w:rsidP="00CE06A0">
            <w:pPr>
              <w:pStyle w:val="formattext"/>
            </w:pPr>
            <w:r w:rsidRPr="00146E51">
              <w:t>- пунктом 1 статьи 28_1 Федерального закона "Об электроэнергетике"</w:t>
            </w:r>
          </w:p>
          <w:p w:rsidR="00F103F7" w:rsidRPr="00146E51" w:rsidRDefault="00F103F7" w:rsidP="00A229A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F103F7" w:rsidRPr="00146E51" w:rsidRDefault="00F103F7" w:rsidP="00B407A0">
            <w:pPr>
              <w:rPr>
                <w:b/>
                <w:sz w:val="24"/>
                <w:szCs w:val="24"/>
                <w:lang w:val="ru-RU"/>
              </w:rPr>
            </w:pPr>
            <w:r w:rsidRPr="00146E51">
              <w:rPr>
                <w:sz w:val="24"/>
                <w:szCs w:val="24"/>
                <w:lang w:val="ru-RU"/>
              </w:rPr>
              <w:t xml:space="preserve">поднадзорные организаций, обеспечивающие безопасность государства (Минобороны, ФСИН, ФСБ, ФСО, внешней разведки, управлению спецпрограмм Президента) – </w:t>
            </w:r>
            <w:r w:rsidRPr="00146E51">
              <w:rPr>
                <w:b/>
                <w:sz w:val="24"/>
                <w:szCs w:val="24"/>
                <w:lang w:val="ru-RU"/>
              </w:rPr>
              <w:t xml:space="preserve">в ведомственных, </w:t>
            </w:r>
            <w:r w:rsidRPr="00146E51">
              <w:rPr>
                <w:sz w:val="24"/>
                <w:szCs w:val="24"/>
                <w:lang w:val="ru-RU"/>
              </w:rPr>
              <w:t xml:space="preserve">все остальные </w:t>
            </w:r>
            <w:proofErr w:type="gramStart"/>
            <w:r w:rsidRPr="00146E51">
              <w:rPr>
                <w:b/>
                <w:sz w:val="24"/>
                <w:szCs w:val="24"/>
                <w:lang w:val="ru-RU"/>
              </w:rPr>
              <w:t>в</w:t>
            </w:r>
            <w:proofErr w:type="gramEnd"/>
            <w:r w:rsidRPr="00146E51">
              <w:rPr>
                <w:b/>
                <w:sz w:val="24"/>
                <w:szCs w:val="24"/>
                <w:lang w:val="ru-RU"/>
              </w:rPr>
              <w:t xml:space="preserve"> ТАК Ростехнадзора, если не сформирована своя комиссия</w:t>
            </w:r>
          </w:p>
        </w:tc>
      </w:tr>
      <w:tr w:rsidR="00F103F7" w:rsidRPr="00146E51" w:rsidTr="00A53495">
        <w:tc>
          <w:tcPr>
            <w:tcW w:w="392" w:type="dxa"/>
          </w:tcPr>
          <w:p w:rsidR="00F103F7" w:rsidRPr="00146E51" w:rsidRDefault="00F103F7" w:rsidP="00CE06A0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46E51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</w:t>
            </w:r>
          </w:p>
        </w:tc>
        <w:tc>
          <w:tcPr>
            <w:tcW w:w="6946" w:type="dxa"/>
          </w:tcPr>
          <w:p w:rsidR="00F103F7" w:rsidRPr="00146E51" w:rsidRDefault="00F103F7" w:rsidP="00CE06A0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146E5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46E51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работники, являющиеся членами аттестационных комиссий организаций</w:t>
            </w:r>
            <w:r w:rsidRPr="00146E51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(не входят ни в одну из перечисленных выше категорий)</w:t>
            </w:r>
          </w:p>
        </w:tc>
        <w:tc>
          <w:tcPr>
            <w:tcW w:w="2835" w:type="dxa"/>
          </w:tcPr>
          <w:p w:rsidR="00F103F7" w:rsidRPr="00146E51" w:rsidRDefault="00F103F7" w:rsidP="00B407A0">
            <w:pPr>
              <w:rPr>
                <w:b/>
                <w:sz w:val="24"/>
                <w:szCs w:val="24"/>
                <w:lang w:val="ru-RU"/>
              </w:rPr>
            </w:pPr>
            <w:r w:rsidRPr="00146E51">
              <w:rPr>
                <w:b/>
                <w:sz w:val="24"/>
                <w:szCs w:val="24"/>
                <w:lang w:val="ru-RU"/>
              </w:rPr>
              <w:t>в ТАК Ростехнадзора</w:t>
            </w:r>
          </w:p>
        </w:tc>
      </w:tr>
      <w:tr w:rsidR="00F103F7" w:rsidRPr="00382F06" w:rsidTr="00A53495">
        <w:tc>
          <w:tcPr>
            <w:tcW w:w="392" w:type="dxa"/>
          </w:tcPr>
          <w:p w:rsidR="00F103F7" w:rsidRPr="00146E51" w:rsidRDefault="00F103F7" w:rsidP="00CE06A0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46E51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</w:t>
            </w:r>
          </w:p>
        </w:tc>
        <w:tc>
          <w:tcPr>
            <w:tcW w:w="6946" w:type="dxa"/>
          </w:tcPr>
          <w:p w:rsidR="00F103F7" w:rsidRPr="00146E51" w:rsidRDefault="00F103F7" w:rsidP="00CE06A0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146E51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диспетчеры субъектов оперативно-диспетчерского </w:t>
            </w:r>
            <w:r w:rsidRPr="00146E51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управления в электроэнергетике</w:t>
            </w:r>
          </w:p>
        </w:tc>
        <w:tc>
          <w:tcPr>
            <w:tcW w:w="2835" w:type="dxa"/>
          </w:tcPr>
          <w:p w:rsidR="00F103F7" w:rsidRPr="00146E51" w:rsidRDefault="008833B4" w:rsidP="00F103F7">
            <w:pPr>
              <w:pStyle w:val="formattext"/>
              <w:rPr>
                <w:b/>
              </w:rPr>
            </w:pPr>
            <w:r w:rsidRPr="00146E51">
              <w:lastRenderedPageBreak/>
              <w:t>В</w:t>
            </w:r>
            <w:r w:rsidR="00F103F7" w:rsidRPr="00146E51">
              <w:t xml:space="preserve"> соответствии с </w:t>
            </w:r>
            <w:r w:rsidR="00F103F7" w:rsidRPr="00146E51">
              <w:lastRenderedPageBreak/>
              <w:t xml:space="preserve">едиными аттестационными требованиями к лицам, осуществляющим профессиональную деятельность, связанную с оперативно-диспетчерским управлением в электроэнергетике, которые установлены Минэнерго - </w:t>
            </w:r>
            <w:r w:rsidR="00F103F7" w:rsidRPr="00146E51">
              <w:rPr>
                <w:b/>
              </w:rPr>
              <w:t xml:space="preserve">в аттестационных комиссиях, формируемых </w:t>
            </w:r>
            <w:proofErr w:type="spellStart"/>
            <w:r w:rsidR="00F103F7" w:rsidRPr="00146E51">
              <w:rPr>
                <w:b/>
              </w:rPr>
              <w:t>Ростехнадзором</w:t>
            </w:r>
            <w:proofErr w:type="spellEnd"/>
            <w:r w:rsidR="00F103F7" w:rsidRPr="00146E51">
              <w:rPr>
                <w:b/>
              </w:rPr>
              <w:t xml:space="preserve"> или его территориальными органами</w:t>
            </w:r>
            <w:r w:rsidR="00F103F7" w:rsidRPr="00146E51">
              <w:t xml:space="preserve">. </w:t>
            </w:r>
            <w:r w:rsidRPr="00146E51">
              <w:t xml:space="preserve">Аттестация по </w:t>
            </w:r>
            <w:proofErr w:type="spellStart"/>
            <w:r w:rsidRPr="00146E51">
              <w:t>промбезопасности</w:t>
            </w:r>
            <w:proofErr w:type="spellEnd"/>
            <w:r w:rsidRPr="00146E51">
              <w:t xml:space="preserve"> -</w:t>
            </w:r>
            <w:r w:rsidR="00F103F7" w:rsidRPr="00146E51">
              <w:t xml:space="preserve"> </w:t>
            </w:r>
            <w:r w:rsidR="00F103F7" w:rsidRPr="00146E51">
              <w:rPr>
                <w:b/>
              </w:rPr>
              <w:t>в аттестационной комиссии организации, формируемой соответствующим субъектом оперативно-диспетчерского управления в электроэнергетике</w:t>
            </w:r>
          </w:p>
          <w:p w:rsidR="00F103F7" w:rsidRPr="00146E51" w:rsidRDefault="00F103F7" w:rsidP="00B407A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58578D" w:rsidRPr="00A53495" w:rsidTr="00A53495">
        <w:tc>
          <w:tcPr>
            <w:tcW w:w="10173" w:type="dxa"/>
            <w:gridSpan w:val="3"/>
            <w:shd w:val="clear" w:color="auto" w:fill="FFFF00"/>
          </w:tcPr>
          <w:p w:rsidR="0058578D" w:rsidRPr="00A53495" w:rsidRDefault="00146E51" w:rsidP="0058578D">
            <w:pPr>
              <w:pStyle w:val="headertext"/>
              <w:spacing w:after="240" w:afterAutospacing="0"/>
            </w:pPr>
            <w:r w:rsidRPr="00A53495">
              <w:rPr>
                <w:b/>
              </w:rPr>
              <w:lastRenderedPageBreak/>
              <w:t>Е</w:t>
            </w:r>
            <w:r w:rsidR="0058578D" w:rsidRPr="00A53495">
              <w:rPr>
                <w:b/>
              </w:rPr>
              <w:t>сли в отношении работников выявлены нарушения обязательных требований</w:t>
            </w:r>
            <w:r w:rsidR="0058578D" w:rsidRPr="00A53495">
              <w:t xml:space="preserve">, определенные в актах, содержащих результаты проведения технического расследования причин аварии на ОПО, ГТС, расследования причин аварии в электроэнергетике - </w:t>
            </w:r>
            <w:r w:rsidR="0058578D" w:rsidRPr="00A53495">
              <w:rPr>
                <w:b/>
              </w:rPr>
              <w:t>внеочередная аттестация работников</w:t>
            </w:r>
            <w:r w:rsidR="0058578D" w:rsidRPr="00A53495">
              <w:t xml:space="preserve">, указанных в п. </w:t>
            </w:r>
            <w:proofErr w:type="gramStart"/>
            <w:r w:rsidR="0058578D" w:rsidRPr="00A53495">
              <w:t>а-д</w:t>
            </w:r>
            <w:proofErr w:type="gramEnd"/>
            <w:r w:rsidR="0058578D" w:rsidRPr="00A53495">
              <w:t xml:space="preserve">, проводится </w:t>
            </w:r>
            <w:r w:rsidR="0058578D" w:rsidRPr="00A53495">
              <w:rPr>
                <w:b/>
              </w:rPr>
              <w:t>в ТАК Ростехнадзора или ведомственной аттестационной комиссии</w:t>
            </w:r>
          </w:p>
        </w:tc>
      </w:tr>
      <w:tr w:rsidR="00F103F7" w:rsidRPr="00146E51" w:rsidTr="00A53495">
        <w:tc>
          <w:tcPr>
            <w:tcW w:w="392" w:type="dxa"/>
          </w:tcPr>
          <w:p w:rsidR="00F103F7" w:rsidRPr="00146E51" w:rsidRDefault="00F103F7" w:rsidP="00CE06A0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946" w:type="dxa"/>
          </w:tcPr>
          <w:p w:rsidR="00F103F7" w:rsidRPr="00146E51" w:rsidRDefault="00F103F7" w:rsidP="00F103F7">
            <w:pPr>
              <w:pStyle w:val="headertext"/>
              <w:spacing w:after="240" w:afterAutospacing="0"/>
            </w:pPr>
            <w:r w:rsidRPr="00146E51">
              <w:rPr>
                <w:b/>
                <w:color w:val="000000"/>
                <w:shd w:val="clear" w:color="auto" w:fill="FFFFFF"/>
              </w:rPr>
              <w:t xml:space="preserve">иные работники </w:t>
            </w:r>
            <w:r w:rsidRPr="00146E51">
              <w:rPr>
                <w:color w:val="000000"/>
                <w:shd w:val="clear" w:color="auto" w:fill="FFFFFF"/>
              </w:rPr>
              <w:t xml:space="preserve">(не входят ни в одну из перечисленных выше категорий) и </w:t>
            </w:r>
            <w:r w:rsidRPr="00146E51">
              <w:t>работники организаций, выполняющих работы или оказывающих услуги организациям, эксплуатирующим, ОПО, указанные в пунктах а-в</w:t>
            </w:r>
          </w:p>
          <w:p w:rsidR="00F103F7" w:rsidRPr="00146E51" w:rsidRDefault="00F103F7" w:rsidP="008937BF">
            <w:pPr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F103F7" w:rsidRPr="00146E51" w:rsidRDefault="00F103F7" w:rsidP="00B407A0">
            <w:pPr>
              <w:pStyle w:val="formattext"/>
              <w:rPr>
                <w:b/>
              </w:rPr>
            </w:pPr>
            <w:r w:rsidRPr="00146E51">
              <w:rPr>
                <w:b/>
              </w:rPr>
              <w:t>в аттестационных комиссиях организаций</w:t>
            </w:r>
          </w:p>
          <w:p w:rsidR="00F103F7" w:rsidRPr="00146E51" w:rsidRDefault="00F103F7" w:rsidP="00B407A0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A229A6" w:rsidRPr="00A229A6" w:rsidRDefault="00A229A6" w:rsidP="00A229A6">
      <w:pPr>
        <w:jc w:val="center"/>
        <w:rPr>
          <w:b/>
          <w:sz w:val="28"/>
          <w:szCs w:val="28"/>
          <w:lang w:val="ru-RU"/>
        </w:rPr>
      </w:pPr>
    </w:p>
    <w:p w:rsidR="00A229A6" w:rsidRDefault="00A229A6">
      <w:pPr>
        <w:rPr>
          <w:lang w:val="ru-RU"/>
        </w:rPr>
      </w:pPr>
    </w:p>
    <w:p w:rsidR="00257CA0" w:rsidRDefault="008833B4">
      <w:pP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</w:pPr>
      <w:r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Вся аттестация по </w:t>
      </w:r>
      <w:proofErr w:type="spellStart"/>
      <w:r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промке</w:t>
      </w:r>
      <w:proofErr w:type="spellEnd"/>
      <w:r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пойдет через портал Ростехнадзора. </w:t>
      </w:r>
      <w:r w:rsidRPr="008833B4">
        <w:rPr>
          <w:rFonts w:cs="Times New Roman"/>
          <w:b/>
          <w:color w:val="000000"/>
          <w:sz w:val="24"/>
          <w:szCs w:val="24"/>
          <w:shd w:val="clear" w:color="auto" w:fill="FFFFFF"/>
          <w:lang w:val="ru-RU"/>
        </w:rPr>
        <w:t>Аттестационные комиссии организаций проводят аттестацию с применением средств Единого портала тестирования (ЕПТ)</w:t>
      </w:r>
      <w:r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. Пользование Единым порталом тестирования осуществляется без взимания платы.</w:t>
      </w:r>
      <w:r w:rsidRPr="008833B4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r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Информация о ЕПТ представлена на сайте </w:t>
      </w:r>
      <w:proofErr w:type="spellStart"/>
      <w:r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Ростехнадзора</w:t>
      </w:r>
      <w:proofErr w:type="spellEnd"/>
      <w:r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по адресу: </w:t>
      </w:r>
      <w:hyperlink r:id="rId6" w:history="1"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http</w:t>
        </w:r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://</w:t>
        </w:r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www</w:t>
        </w:r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gosnadzor</w:t>
        </w:r>
        <w:proofErr w:type="spellEnd"/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ru</w:t>
        </w:r>
        <w:proofErr w:type="spellEnd"/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eptb</w:t>
        </w:r>
        <w:proofErr w:type="spellEnd"/>
        <w:r w:rsidR="0058578D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/</w:t>
        </w:r>
      </w:hyperlink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57CA0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257CA0" w:rsidRDefault="00257CA0">
      <w:pP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8833B4" w:rsidRDefault="00257CA0">
      <w:pP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Никаких билетов или тестов больше придумывать не надо ибо </w:t>
      </w:r>
      <w:r w:rsidRPr="00257CA0">
        <w:rPr>
          <w:rFonts w:cs="Times New Roman"/>
          <w:b/>
          <w:color w:val="000000"/>
          <w:sz w:val="24"/>
          <w:szCs w:val="24"/>
          <w:shd w:val="clear" w:color="auto" w:fill="FFFFFF"/>
          <w:lang w:val="ru-RU"/>
        </w:rPr>
        <w:t>по каждой области аттестации есть утвержденные распоряжением Ростехнадзора вопросы с вариантам ответов или без таковых</w:t>
      </w:r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. Они </w:t>
      </w:r>
      <w:r w:rsidRPr="00257CA0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доступны на сайте </w:t>
      </w:r>
      <w:proofErr w:type="spellStart"/>
      <w:r w:rsidRPr="00257CA0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Ростехнадзора</w:t>
      </w:r>
      <w:proofErr w:type="spellEnd"/>
      <w:r w:rsidRPr="00257CA0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по адресу</w:t>
      </w:r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hyperlink r:id="rId7" w:history="1">
        <w:r w:rsidRPr="00257CA0">
          <w:rPr>
            <w:rStyle w:val="a8"/>
            <w:sz w:val="24"/>
            <w:szCs w:val="24"/>
          </w:rPr>
          <w:t>http</w:t>
        </w:r>
        <w:r w:rsidRPr="00257CA0">
          <w:rPr>
            <w:rStyle w:val="a8"/>
            <w:sz w:val="24"/>
            <w:szCs w:val="24"/>
            <w:lang w:val="ru-RU"/>
          </w:rPr>
          <w:t>://</w:t>
        </w:r>
        <w:r w:rsidRPr="00257CA0">
          <w:rPr>
            <w:rStyle w:val="a8"/>
            <w:sz w:val="24"/>
            <w:szCs w:val="24"/>
          </w:rPr>
          <w:t>www</w:t>
        </w:r>
        <w:r w:rsidRPr="00257CA0">
          <w:rPr>
            <w:rStyle w:val="a8"/>
            <w:sz w:val="24"/>
            <w:szCs w:val="24"/>
            <w:lang w:val="ru-RU"/>
          </w:rPr>
          <w:t>.</w:t>
        </w:r>
        <w:r w:rsidRPr="00257CA0">
          <w:rPr>
            <w:rStyle w:val="a8"/>
            <w:sz w:val="24"/>
            <w:szCs w:val="24"/>
          </w:rPr>
          <w:t>gosnadzor</w:t>
        </w:r>
        <w:r w:rsidRPr="00257CA0">
          <w:rPr>
            <w:rStyle w:val="a8"/>
            <w:sz w:val="24"/>
            <w:szCs w:val="24"/>
            <w:lang w:val="ru-RU"/>
          </w:rPr>
          <w:t>.</w:t>
        </w:r>
        <w:r w:rsidRPr="00257CA0">
          <w:rPr>
            <w:rStyle w:val="a8"/>
            <w:sz w:val="24"/>
            <w:szCs w:val="24"/>
          </w:rPr>
          <w:t>ru</w:t>
        </w:r>
        <w:r w:rsidRPr="00257CA0">
          <w:rPr>
            <w:rStyle w:val="a8"/>
            <w:sz w:val="24"/>
            <w:szCs w:val="24"/>
            <w:lang w:val="ru-RU"/>
          </w:rPr>
          <w:t>/</w:t>
        </w:r>
        <w:r w:rsidRPr="00257CA0">
          <w:rPr>
            <w:rStyle w:val="a8"/>
            <w:sz w:val="24"/>
            <w:szCs w:val="24"/>
          </w:rPr>
          <w:t>activity</w:t>
        </w:r>
        <w:r w:rsidRPr="00257CA0">
          <w:rPr>
            <w:rStyle w:val="a8"/>
            <w:sz w:val="24"/>
            <w:szCs w:val="24"/>
            <w:lang w:val="ru-RU"/>
          </w:rPr>
          <w:t>/</w:t>
        </w:r>
        <w:r w:rsidRPr="00257CA0">
          <w:rPr>
            <w:rStyle w:val="a8"/>
            <w:sz w:val="24"/>
            <w:szCs w:val="24"/>
          </w:rPr>
          <w:t>attestation</w:t>
        </w:r>
        <w:r w:rsidRPr="00257CA0">
          <w:rPr>
            <w:rStyle w:val="a8"/>
            <w:sz w:val="24"/>
            <w:szCs w:val="24"/>
            <w:lang w:val="ru-RU"/>
          </w:rPr>
          <w:t>/</w:t>
        </w:r>
        <w:r w:rsidRPr="00257CA0">
          <w:rPr>
            <w:rStyle w:val="a8"/>
            <w:sz w:val="24"/>
            <w:szCs w:val="24"/>
          </w:rPr>
          <w:t>tests</w:t>
        </w:r>
        <w:proofErr w:type="gramStart"/>
        <w:r w:rsidRPr="00257CA0">
          <w:rPr>
            <w:rStyle w:val="a8"/>
            <w:sz w:val="24"/>
            <w:szCs w:val="24"/>
            <w:lang w:val="ru-RU"/>
          </w:rPr>
          <w:t>/</w:t>
        </w:r>
      </w:hyperlink>
      <w:r w:rsidR="008833B4" w:rsidRPr="00257CA0">
        <w:rPr>
          <w:rFonts w:cs="Times New Roman"/>
          <w:color w:val="000000"/>
          <w:sz w:val="24"/>
          <w:szCs w:val="24"/>
          <w:lang w:val="ru-RU"/>
        </w:rPr>
        <w:br/>
      </w:r>
      <w:r w:rsidR="008833B4" w:rsidRPr="008833B4">
        <w:rPr>
          <w:rFonts w:cs="Times New Roman"/>
          <w:color w:val="000000"/>
          <w:sz w:val="24"/>
          <w:szCs w:val="24"/>
          <w:lang w:val="ru-RU"/>
        </w:rPr>
        <w:br/>
      </w:r>
      <w:r w:rsidR="008833B4"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Д</w:t>
      </w:r>
      <w:proofErr w:type="gramEnd"/>
      <w:r w:rsidR="008833B4"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ля доступа к тестированию необходимо подключать дополнительное оборудование. Информация: </w:t>
      </w:r>
      <w:hyperlink r:id="rId8" w:history="1"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https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://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umkrtn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.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ru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/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tehnicheskaya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-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podderzhka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-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is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-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ept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/</w:t>
        </w:r>
      </w:hyperlink>
      <w:r w:rsid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833B4" w:rsidRPr="008833B4">
        <w:rPr>
          <w:rFonts w:cs="Times New Roman"/>
          <w:color w:val="000000"/>
          <w:sz w:val="24"/>
          <w:szCs w:val="24"/>
          <w:lang w:val="ru-RU"/>
        </w:rPr>
        <w:br/>
      </w:r>
      <w:r w:rsidR="008833B4" w:rsidRPr="008833B4">
        <w:rPr>
          <w:rFonts w:cs="Times New Roman"/>
          <w:color w:val="000000"/>
          <w:sz w:val="24"/>
          <w:szCs w:val="24"/>
          <w:lang w:val="ru-RU"/>
        </w:rPr>
        <w:br/>
      </w:r>
      <w:r w:rsidR="008833B4"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Особое внимание на регламент подключения к защищенной сети передачи данных, в особенности раздел "6.3 приложение </w:t>
      </w:r>
      <w:r w:rsidR="00146E51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№</w:t>
      </w:r>
      <w:r w:rsidR="008833B4" w:rsidRPr="008833B4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3. Инструкция по подключению к ЗСПД ИС ЕПТ". Перейти в данный регламент можно по ссылке: </w:t>
      </w:r>
      <w:hyperlink r:id="rId9" w:history="1"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https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umkrtn</w:t>
        </w:r>
        <w:proofErr w:type="spellEnd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ru</w:t>
        </w:r>
        <w:proofErr w:type="spellEnd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wp</w:t>
        </w:r>
        <w:proofErr w:type="spellEnd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-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content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/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uploads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/2019/09/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Rules</w:t>
        </w:r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_</w:t>
        </w:r>
        <w:proofErr w:type="spellStart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ConnectingEPT</w:t>
        </w:r>
        <w:proofErr w:type="spellEnd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8833B4" w:rsidRPr="00852F5D">
          <w:rPr>
            <w:rStyle w:val="a8"/>
            <w:rFonts w:cs="Times New Roman"/>
            <w:sz w:val="24"/>
            <w:szCs w:val="24"/>
            <w:shd w:val="clear" w:color="auto" w:fill="FFFFFF"/>
          </w:rPr>
          <w:t>pdf</w:t>
        </w:r>
        <w:proofErr w:type="spellEnd"/>
      </w:hyperlink>
    </w:p>
    <w:p w:rsidR="008833B4" w:rsidRPr="008833B4" w:rsidRDefault="008833B4" w:rsidP="008833B4">
      <w:pPr>
        <w:pStyle w:val="articleparagraph"/>
        <w:spacing w:before="276" w:beforeAutospacing="0" w:after="0" w:afterAutospacing="0"/>
      </w:pPr>
      <w:r w:rsidRPr="008833B4">
        <w:rPr>
          <w:b/>
        </w:rPr>
        <w:t>Результаты аттестации оформляются протоколом</w:t>
      </w:r>
      <w:r w:rsidRPr="008833B4">
        <w:t>. </w:t>
      </w:r>
      <w:r w:rsidRPr="008833B4">
        <w:br/>
      </w:r>
      <w:r w:rsidRPr="008833B4">
        <w:br/>
        <w:t> </w:t>
      </w:r>
      <w:r w:rsidRPr="008833B4">
        <w:rPr>
          <w:b/>
        </w:rPr>
        <w:t>Ростехнадзор ведет реестр аттестованных лиц</w:t>
      </w:r>
      <w:r w:rsidRPr="008833B4">
        <w:t>. </w:t>
      </w:r>
      <w:r w:rsidRPr="008833B4">
        <w:br/>
      </w:r>
      <w:r w:rsidRPr="008833B4">
        <w:br/>
      </w:r>
      <w:r w:rsidR="00257CA0">
        <w:t>Обращаем внимание</w:t>
      </w:r>
      <w:r w:rsidRPr="008833B4">
        <w:t xml:space="preserve">, что Ростехнадзор предлагает утвердить </w:t>
      </w:r>
      <w:r w:rsidRPr="008833B4">
        <w:rPr>
          <w:b/>
        </w:rPr>
        <w:t>новый перечень областей аттестации</w:t>
      </w:r>
      <w:r w:rsidR="00257CA0">
        <w:t xml:space="preserve"> и на портале проектов нормативных актов проходит все необходимые процедуры</w:t>
      </w:r>
      <w:r w:rsidRPr="008833B4">
        <w:t> </w:t>
      </w:r>
      <w:r w:rsidRPr="00257CA0">
        <w:t>проект приказа Ростехнадзора "Об утверждении Перечня областей аттестации в области промышленной безопасности, по вопросам безопасности гидротехнических сооружений, безопасн</w:t>
      </w:r>
      <w:r w:rsidR="00257CA0">
        <w:t>ости в сфере электроэнергетики"</w:t>
      </w:r>
      <w:r w:rsidR="00257CA0" w:rsidRPr="00257CA0">
        <w:t xml:space="preserve"> </w:t>
      </w:r>
      <w:hyperlink r:id="rId10" w:anchor="npa=85081" w:history="1">
        <w:r w:rsidR="00257CA0" w:rsidRPr="00852F5D">
          <w:rPr>
            <w:rStyle w:val="a8"/>
          </w:rPr>
          <w:t>http://regulation.gov.ru/projects#npa=85081</w:t>
        </w:r>
      </w:hyperlink>
      <w:r w:rsidR="00257CA0">
        <w:t xml:space="preserve">  </w:t>
      </w:r>
      <w:r w:rsidR="00257CA0" w:rsidRPr="00257CA0">
        <w:rPr>
          <w:b/>
        </w:rPr>
        <w:t>уже год</w:t>
      </w:r>
      <w:r w:rsidR="00257CA0">
        <w:t>!</w:t>
      </w:r>
    </w:p>
    <w:p w:rsidR="008833B4" w:rsidRPr="00AE6973" w:rsidRDefault="00FC35FA" w:rsidP="00602720">
      <w:pPr>
        <w:pStyle w:val="articleparagraph"/>
        <w:spacing w:before="276" w:beforeAutospacing="0" w:after="0" w:afterAutospacing="0"/>
      </w:pPr>
      <w:r>
        <w:t>Сравнительный</w:t>
      </w:r>
      <w:r w:rsidR="008833B4" w:rsidRPr="00AE6973">
        <w:t xml:space="preserve"> анализ перечня областей аттестации, подготовленный </w:t>
      </w:r>
      <w:proofErr w:type="spellStart"/>
      <w:r w:rsidR="008833B4" w:rsidRPr="00AE6973">
        <w:t>Ростехнадзором</w:t>
      </w:r>
      <w:proofErr w:type="spellEnd"/>
      <w:r w:rsidR="008833B4" w:rsidRPr="00AE6973">
        <w:t xml:space="preserve"> по состоянию на 20.11.2018 с Перечнем областей аттестации, утвержденным приказом </w:t>
      </w:r>
      <w:proofErr w:type="spellStart"/>
      <w:r w:rsidR="008833B4" w:rsidRPr="00AE6973">
        <w:t>Ростехнадзора</w:t>
      </w:r>
      <w:proofErr w:type="spellEnd"/>
      <w:r w:rsidR="008833B4" w:rsidRPr="00AE6973">
        <w:t xml:space="preserve"> от 06.04.2012 </w:t>
      </w:r>
      <w:r w:rsidR="00146E51">
        <w:t>№</w:t>
      </w:r>
      <w:r w:rsidR="008833B4" w:rsidRPr="00AE6973">
        <w:t xml:space="preserve"> 233</w:t>
      </w:r>
      <w:r>
        <w:t xml:space="preserve"> </w:t>
      </w:r>
      <w:r w:rsidRPr="00146E51">
        <w:t>(</w:t>
      </w:r>
      <w:hyperlink r:id="rId11" w:history="1">
        <w:r w:rsidRPr="00B767A0">
          <w:rPr>
            <w:rStyle w:val="a8"/>
          </w:rPr>
          <w:t>с</w:t>
        </w:r>
        <w:r w:rsidR="00146E51" w:rsidRPr="00B767A0">
          <w:rPr>
            <w:rStyle w:val="a8"/>
          </w:rPr>
          <w:t>качать</w:t>
        </w:r>
        <w:r w:rsidRPr="00B767A0">
          <w:rPr>
            <w:rStyle w:val="a8"/>
          </w:rPr>
          <w:t xml:space="preserve"> приложенный файл</w:t>
        </w:r>
        <w:r w:rsidR="00146E51" w:rsidRPr="00B767A0">
          <w:rPr>
            <w:rStyle w:val="a8"/>
          </w:rPr>
          <w:t xml:space="preserve"> в заметке</w:t>
        </w:r>
      </w:hyperlink>
      <w:r w:rsidRPr="00146E51">
        <w:t>)</w:t>
      </w:r>
    </w:p>
    <w:p w:rsidR="00AE6973" w:rsidRPr="00AE6973" w:rsidRDefault="00AE6973" w:rsidP="00602720">
      <w:pPr>
        <w:pStyle w:val="headertext"/>
        <w:spacing w:after="240" w:afterAutospacing="0"/>
      </w:pPr>
      <w:r w:rsidRPr="00AE6973">
        <w:rPr>
          <w:color w:val="000000"/>
          <w:shd w:val="clear" w:color="auto" w:fill="FFFFFF"/>
        </w:rPr>
        <w:t>Форма за</w:t>
      </w:r>
      <w:r>
        <w:rPr>
          <w:color w:val="000000"/>
          <w:shd w:val="clear" w:color="auto" w:fill="FFFFFF"/>
        </w:rPr>
        <w:t>я</w:t>
      </w:r>
      <w:r w:rsidRPr="00AE6973">
        <w:rPr>
          <w:color w:val="000000"/>
          <w:shd w:val="clear" w:color="auto" w:fill="FFFFFF"/>
        </w:rPr>
        <w:t xml:space="preserve">вления в ТАК Ростехнадзора согласно п.13 Постановления </w:t>
      </w:r>
      <w:r>
        <w:rPr>
          <w:color w:val="000000"/>
          <w:shd w:val="clear" w:color="auto" w:fill="FFFFFF"/>
        </w:rPr>
        <w:t xml:space="preserve">№ </w:t>
      </w:r>
      <w:r w:rsidRPr="00AE6973">
        <w:rPr>
          <w:color w:val="000000"/>
          <w:shd w:val="clear" w:color="auto" w:fill="FFFFFF"/>
        </w:rPr>
        <w:t xml:space="preserve">1365 должна быть установлена </w:t>
      </w:r>
      <w:proofErr w:type="spellStart"/>
      <w:r w:rsidRPr="00AE6973">
        <w:rPr>
          <w:color w:val="000000"/>
          <w:shd w:val="clear" w:color="auto" w:fill="FFFFFF"/>
        </w:rPr>
        <w:t>Ростехнадзором</w:t>
      </w:r>
      <w:proofErr w:type="spellEnd"/>
      <w:r w:rsidRPr="00AE6973">
        <w:rPr>
          <w:color w:val="000000"/>
          <w:shd w:val="clear" w:color="auto" w:fill="FFFFFF"/>
        </w:rPr>
        <w:t xml:space="preserve">. А ее нет! </w:t>
      </w:r>
      <w:r>
        <w:rPr>
          <w:color w:val="000000"/>
          <w:shd w:val="clear" w:color="auto" w:fill="FFFFFF"/>
        </w:rPr>
        <w:t>При этом в п. 15 этого же документа прописано</w:t>
      </w:r>
      <w:r w:rsidR="00602720">
        <w:rPr>
          <w:color w:val="000000"/>
          <w:shd w:val="clear" w:color="auto" w:fill="FFFFFF"/>
        </w:rPr>
        <w:t xml:space="preserve">, </w:t>
      </w:r>
      <w:r w:rsidR="00602720" w:rsidRPr="00602720">
        <w:rPr>
          <w:b/>
          <w:color w:val="000000"/>
          <w:shd w:val="clear" w:color="auto" w:fill="FFFFFF"/>
        </w:rPr>
        <w:t>что</w:t>
      </w:r>
      <w:r w:rsidRPr="00602720">
        <w:rPr>
          <w:b/>
        </w:rPr>
        <w:t xml:space="preserve"> случае несоблюдения заявителем формы заявления об аттестации</w:t>
      </w:r>
      <w:r>
        <w:t xml:space="preserve"> или в случае представления документов, указанных в пункте 13</w:t>
      </w:r>
      <w:r w:rsidR="00602720">
        <w:t>, не в полном объеме принявшая</w:t>
      </w:r>
      <w:r>
        <w:t xml:space="preserve"> заявление </w:t>
      </w:r>
      <w:r w:rsidR="00602720">
        <w:t>ТАК</w:t>
      </w:r>
      <w:r>
        <w:t xml:space="preserve"> </w:t>
      </w:r>
      <w:r w:rsidRPr="00602720">
        <w:rPr>
          <w:b/>
        </w:rPr>
        <w:t xml:space="preserve">оставляет </w:t>
      </w:r>
      <w:r w:rsidR="00602720">
        <w:rPr>
          <w:b/>
        </w:rPr>
        <w:t>его</w:t>
      </w:r>
      <w:r w:rsidRPr="00602720">
        <w:rPr>
          <w:b/>
        </w:rPr>
        <w:t xml:space="preserve"> об аттестации без рассмотрения</w:t>
      </w:r>
      <w:r>
        <w:t>.</w:t>
      </w:r>
    </w:p>
    <w:p w:rsidR="00AE6973" w:rsidRPr="00257CA0" w:rsidRDefault="00AE6973">
      <w:pPr>
        <w:rPr>
          <w:rFonts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</w:pPr>
      <w:r w:rsidRPr="00AE6973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В п.13 Постановления </w:t>
      </w:r>
      <w: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№ 1365</w:t>
      </w:r>
      <w:r w:rsidR="0058578D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также указано, что</w:t>
      </w:r>
      <w:r w:rsidRPr="00AE6973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8578D">
        <w:rPr>
          <w:rFonts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к заявлению об аттестации прикладываются копии </w:t>
      </w:r>
      <w:r w:rsidRPr="0058578D">
        <w:rPr>
          <w:rFonts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документов о квалификации</w:t>
      </w:r>
      <w:r w:rsidRPr="0058578D">
        <w:rPr>
          <w:rFonts w:cs="Times New Roman"/>
          <w:b/>
          <w:color w:val="000000"/>
          <w:sz w:val="24"/>
          <w:szCs w:val="24"/>
          <w:shd w:val="clear" w:color="auto" w:fill="FFFFFF"/>
          <w:lang w:val="ru-RU"/>
        </w:rPr>
        <w:t>, полученных в течение 5 лет, предшествующих дате его представления</w:t>
      </w:r>
      <w:r w:rsidRPr="00AE6973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, по результатам </w:t>
      </w:r>
      <w:r w:rsidRPr="0058578D">
        <w:rPr>
          <w:rFonts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>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заявленной области аттестации</w:t>
      </w:r>
      <w:r w:rsidRPr="00AE6973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>. Т</w:t>
      </w:r>
      <w:r w:rsidR="00257CA0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аким образом, </w:t>
      </w:r>
      <w:r w:rsidRPr="00257CA0">
        <w:rPr>
          <w:rFonts w:cs="Times New Roman"/>
          <w:b/>
          <w:color w:val="000000"/>
          <w:sz w:val="24"/>
          <w:szCs w:val="24"/>
          <w:highlight w:val="yellow"/>
          <w:u w:val="single"/>
          <w:shd w:val="clear" w:color="auto" w:fill="FFFFFF"/>
          <w:lang w:val="ru-RU"/>
        </w:rPr>
        <w:t xml:space="preserve">по каждой </w:t>
      </w:r>
      <w:r w:rsidR="0058578D" w:rsidRPr="00257CA0">
        <w:rPr>
          <w:rFonts w:cs="Times New Roman"/>
          <w:b/>
          <w:color w:val="000000"/>
          <w:sz w:val="24"/>
          <w:szCs w:val="24"/>
          <w:highlight w:val="yellow"/>
          <w:u w:val="single"/>
          <w:shd w:val="clear" w:color="auto" w:fill="FFFFFF"/>
          <w:lang w:val="ru-RU"/>
        </w:rPr>
        <w:t>области аттестации Вы должны обучиться по программе повышения квалификации и получить по итогам ее освоения удостоверение</w:t>
      </w:r>
      <w:r w:rsidRPr="00257CA0">
        <w:rPr>
          <w:rFonts w:cs="Times New Roman"/>
          <w:b/>
          <w:color w:val="000000"/>
          <w:sz w:val="24"/>
          <w:szCs w:val="24"/>
          <w:highlight w:val="yellow"/>
          <w:u w:val="single"/>
          <w:shd w:val="clear" w:color="auto" w:fill="FFFFFF"/>
          <w:lang w:val="ru-RU"/>
        </w:rPr>
        <w:t>.</w:t>
      </w:r>
      <w:r w:rsidRPr="00257CA0">
        <w:rPr>
          <w:rFonts w:cs="Times New Roman"/>
          <w:b/>
          <w:color w:val="000000"/>
          <w:sz w:val="24"/>
          <w:szCs w:val="24"/>
          <w:u w:val="single"/>
          <w:shd w:val="clear" w:color="auto" w:fill="FFFFFF"/>
          <w:lang w:val="ru-RU"/>
        </w:rPr>
        <w:t xml:space="preserve"> </w:t>
      </w:r>
    </w:p>
    <w:p w:rsidR="0058578D" w:rsidRDefault="0058578D">
      <w:pP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257CA0" w:rsidRDefault="00257CA0">
      <w:pPr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</w:p>
    <w:sectPr w:rsidR="00257CA0" w:rsidSect="00A5349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6"/>
    <w:rsid w:val="00007F07"/>
    <w:rsid w:val="000161CC"/>
    <w:rsid w:val="00035148"/>
    <w:rsid w:val="00042FF2"/>
    <w:rsid w:val="000A1C05"/>
    <w:rsid w:val="000F7CD4"/>
    <w:rsid w:val="00111C14"/>
    <w:rsid w:val="00146E51"/>
    <w:rsid w:val="001B4FB2"/>
    <w:rsid w:val="00221936"/>
    <w:rsid w:val="00242A8C"/>
    <w:rsid w:val="00255C3E"/>
    <w:rsid w:val="00257CA0"/>
    <w:rsid w:val="002D01F9"/>
    <w:rsid w:val="00324EAF"/>
    <w:rsid w:val="00347E94"/>
    <w:rsid w:val="00347EB4"/>
    <w:rsid w:val="00367396"/>
    <w:rsid w:val="00382F06"/>
    <w:rsid w:val="003A723E"/>
    <w:rsid w:val="003E0BC6"/>
    <w:rsid w:val="00402C58"/>
    <w:rsid w:val="004149F8"/>
    <w:rsid w:val="00436910"/>
    <w:rsid w:val="004A36FA"/>
    <w:rsid w:val="00500FA4"/>
    <w:rsid w:val="00505655"/>
    <w:rsid w:val="00516927"/>
    <w:rsid w:val="005837BB"/>
    <w:rsid w:val="0058578D"/>
    <w:rsid w:val="00602720"/>
    <w:rsid w:val="00611D1E"/>
    <w:rsid w:val="00641035"/>
    <w:rsid w:val="00645306"/>
    <w:rsid w:val="00687832"/>
    <w:rsid w:val="006E63BA"/>
    <w:rsid w:val="006E77FF"/>
    <w:rsid w:val="006F6099"/>
    <w:rsid w:val="007024B0"/>
    <w:rsid w:val="00716E87"/>
    <w:rsid w:val="00751526"/>
    <w:rsid w:val="007723B9"/>
    <w:rsid w:val="007821F9"/>
    <w:rsid w:val="00782D43"/>
    <w:rsid w:val="007C6FA2"/>
    <w:rsid w:val="007E2DB8"/>
    <w:rsid w:val="00801C7E"/>
    <w:rsid w:val="00834AB8"/>
    <w:rsid w:val="00851784"/>
    <w:rsid w:val="008833B4"/>
    <w:rsid w:val="008851A9"/>
    <w:rsid w:val="008937BF"/>
    <w:rsid w:val="008E4D17"/>
    <w:rsid w:val="009177EA"/>
    <w:rsid w:val="00934628"/>
    <w:rsid w:val="00954F93"/>
    <w:rsid w:val="00955289"/>
    <w:rsid w:val="00956664"/>
    <w:rsid w:val="00961AA6"/>
    <w:rsid w:val="00963C01"/>
    <w:rsid w:val="009705AA"/>
    <w:rsid w:val="009B64B2"/>
    <w:rsid w:val="00A014EF"/>
    <w:rsid w:val="00A229A6"/>
    <w:rsid w:val="00A422AC"/>
    <w:rsid w:val="00A53495"/>
    <w:rsid w:val="00A667DD"/>
    <w:rsid w:val="00A67730"/>
    <w:rsid w:val="00A82268"/>
    <w:rsid w:val="00AB428F"/>
    <w:rsid w:val="00AD1134"/>
    <w:rsid w:val="00AE5832"/>
    <w:rsid w:val="00AE6973"/>
    <w:rsid w:val="00AF74CB"/>
    <w:rsid w:val="00B02A68"/>
    <w:rsid w:val="00B13936"/>
    <w:rsid w:val="00B27BC8"/>
    <w:rsid w:val="00B337B8"/>
    <w:rsid w:val="00B407A0"/>
    <w:rsid w:val="00B64FEE"/>
    <w:rsid w:val="00B767A0"/>
    <w:rsid w:val="00B95709"/>
    <w:rsid w:val="00BA601D"/>
    <w:rsid w:val="00BC14FE"/>
    <w:rsid w:val="00BD3C94"/>
    <w:rsid w:val="00C12949"/>
    <w:rsid w:val="00C243E5"/>
    <w:rsid w:val="00C2569B"/>
    <w:rsid w:val="00C312F8"/>
    <w:rsid w:val="00C35357"/>
    <w:rsid w:val="00C473B0"/>
    <w:rsid w:val="00C53CB9"/>
    <w:rsid w:val="00C54C56"/>
    <w:rsid w:val="00C96BF9"/>
    <w:rsid w:val="00C96E52"/>
    <w:rsid w:val="00C97BBF"/>
    <w:rsid w:val="00CC72A7"/>
    <w:rsid w:val="00CE06A0"/>
    <w:rsid w:val="00D22071"/>
    <w:rsid w:val="00D602BB"/>
    <w:rsid w:val="00D813ED"/>
    <w:rsid w:val="00D909AE"/>
    <w:rsid w:val="00DA4198"/>
    <w:rsid w:val="00E840CF"/>
    <w:rsid w:val="00E843AB"/>
    <w:rsid w:val="00E940BD"/>
    <w:rsid w:val="00EC287A"/>
    <w:rsid w:val="00ED4362"/>
    <w:rsid w:val="00EF6A07"/>
    <w:rsid w:val="00F0283F"/>
    <w:rsid w:val="00F0501A"/>
    <w:rsid w:val="00F103F7"/>
    <w:rsid w:val="00F1493D"/>
    <w:rsid w:val="00F14F85"/>
    <w:rsid w:val="00FB32FD"/>
    <w:rsid w:val="00FC35FA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0BC6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E0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0BC6"/>
    <w:pPr>
      <w:widowControl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E0BC6"/>
    <w:rPr>
      <w:rFonts w:cs="Times New Roman"/>
      <w:b/>
      <w:bCs/>
    </w:rPr>
  </w:style>
  <w:style w:type="paragraph" w:styleId="a4">
    <w:name w:val="Body Text"/>
    <w:basedOn w:val="a"/>
    <w:link w:val="a5"/>
    <w:uiPriority w:val="1"/>
    <w:qFormat/>
    <w:rsid w:val="003E0BC6"/>
    <w:pPr>
      <w:spacing w:line="274" w:lineRule="exact"/>
      <w:ind w:left="100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E0B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E0BC6"/>
    <w:pPr>
      <w:spacing w:line="275" w:lineRule="exact"/>
      <w:ind w:left="100"/>
    </w:pPr>
    <w:rPr>
      <w:rFonts w:eastAsia="Times New Roman" w:cs="Times New Roman"/>
    </w:rPr>
  </w:style>
  <w:style w:type="paragraph" w:customStyle="1" w:styleId="11">
    <w:name w:val="Заголовок 11"/>
    <w:basedOn w:val="a"/>
    <w:uiPriority w:val="1"/>
    <w:qFormat/>
    <w:rsid w:val="003E0BC6"/>
    <w:pPr>
      <w:spacing w:before="1" w:line="275" w:lineRule="exact"/>
      <w:ind w:left="4564" w:right="1157"/>
      <w:outlineLvl w:val="1"/>
    </w:pPr>
    <w:rPr>
      <w:rFonts w:eastAsia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0BC6"/>
    <w:pPr>
      <w:spacing w:line="255" w:lineRule="exact"/>
      <w:ind w:left="105"/>
    </w:pPr>
    <w:rPr>
      <w:rFonts w:eastAsia="Times New Roman" w:cs="Times New Roman"/>
    </w:rPr>
  </w:style>
  <w:style w:type="paragraph" w:customStyle="1" w:styleId="110">
    <w:name w:val="Оглавление 11"/>
    <w:basedOn w:val="a"/>
    <w:uiPriority w:val="1"/>
    <w:qFormat/>
    <w:rsid w:val="003E0BC6"/>
    <w:pPr>
      <w:spacing w:before="181"/>
      <w:ind w:right="119"/>
      <w:jc w:val="right"/>
    </w:pPr>
    <w:rPr>
      <w:rFonts w:ascii="Century Gothic" w:eastAsia="Times New Roman" w:hAnsi="Century Gothic" w:cs="Century Gothic"/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3E0BC6"/>
    <w:pPr>
      <w:spacing w:before="221" w:line="236" w:lineRule="exact"/>
      <w:ind w:left="103" w:right="105"/>
    </w:pPr>
    <w:rPr>
      <w:rFonts w:ascii="Bookman Old Style" w:eastAsia="Times New Roman" w:hAnsi="Bookman Old Style" w:cs="Bookman Old Style"/>
      <w:sz w:val="21"/>
      <w:szCs w:val="21"/>
    </w:rPr>
  </w:style>
  <w:style w:type="paragraph" w:customStyle="1" w:styleId="31">
    <w:name w:val="Оглавление 31"/>
    <w:basedOn w:val="a"/>
    <w:uiPriority w:val="1"/>
    <w:qFormat/>
    <w:rsid w:val="003E0BC6"/>
    <w:pPr>
      <w:spacing w:line="236" w:lineRule="exact"/>
      <w:ind w:left="103"/>
    </w:pPr>
    <w:rPr>
      <w:rFonts w:eastAsia="Times New Roman" w:cs="Times New Roman"/>
      <w:i/>
      <w:sz w:val="21"/>
      <w:szCs w:val="21"/>
    </w:rPr>
  </w:style>
  <w:style w:type="paragraph" w:customStyle="1" w:styleId="41">
    <w:name w:val="Оглавление 41"/>
    <w:basedOn w:val="a"/>
    <w:uiPriority w:val="1"/>
    <w:qFormat/>
    <w:rsid w:val="003E0BC6"/>
    <w:pPr>
      <w:spacing w:line="225" w:lineRule="exact"/>
      <w:ind w:left="103" w:right="105"/>
    </w:pPr>
    <w:rPr>
      <w:rFonts w:ascii="Bookman Old Style" w:eastAsia="Times New Roman" w:hAnsi="Bookman Old Style" w:cs="Bookman Old Style"/>
      <w:b/>
      <w:bCs/>
      <w:i/>
    </w:rPr>
  </w:style>
  <w:style w:type="paragraph" w:customStyle="1" w:styleId="51">
    <w:name w:val="Оглавление 51"/>
    <w:basedOn w:val="a"/>
    <w:uiPriority w:val="1"/>
    <w:qFormat/>
    <w:rsid w:val="003E0BC6"/>
    <w:pPr>
      <w:spacing w:line="236" w:lineRule="exact"/>
      <w:ind w:left="389"/>
    </w:pPr>
    <w:rPr>
      <w:rFonts w:ascii="Bookman Old Style" w:eastAsia="Times New Roman" w:hAnsi="Bookman Old Style" w:cs="Bookman Old Style"/>
      <w:sz w:val="21"/>
      <w:szCs w:val="21"/>
    </w:rPr>
  </w:style>
  <w:style w:type="paragraph" w:customStyle="1" w:styleId="61">
    <w:name w:val="Оглавление 61"/>
    <w:basedOn w:val="a"/>
    <w:uiPriority w:val="1"/>
    <w:qFormat/>
    <w:rsid w:val="003E0BC6"/>
    <w:pPr>
      <w:spacing w:line="236" w:lineRule="exact"/>
      <w:ind w:left="672"/>
    </w:pPr>
    <w:rPr>
      <w:rFonts w:ascii="Bookman Old Style" w:eastAsia="Times New Roman" w:hAnsi="Bookman Old Style" w:cs="Bookman Old Style"/>
      <w:sz w:val="21"/>
      <w:szCs w:val="21"/>
    </w:rPr>
  </w:style>
  <w:style w:type="paragraph" w:customStyle="1" w:styleId="210">
    <w:name w:val="Заголовок 21"/>
    <w:basedOn w:val="a"/>
    <w:uiPriority w:val="1"/>
    <w:qFormat/>
    <w:rsid w:val="003E0BC6"/>
    <w:pPr>
      <w:ind w:left="897" w:right="105"/>
      <w:outlineLvl w:val="2"/>
    </w:pPr>
    <w:rPr>
      <w:rFonts w:ascii="Tahoma" w:eastAsia="Times New Roman" w:hAnsi="Tahoma" w:cs="Tahoma"/>
      <w:sz w:val="26"/>
      <w:szCs w:val="26"/>
    </w:rPr>
  </w:style>
  <w:style w:type="paragraph" w:customStyle="1" w:styleId="310">
    <w:name w:val="Заголовок 31"/>
    <w:basedOn w:val="a"/>
    <w:uiPriority w:val="1"/>
    <w:qFormat/>
    <w:rsid w:val="003E0BC6"/>
    <w:pPr>
      <w:ind w:left="897" w:right="105"/>
      <w:outlineLvl w:val="3"/>
    </w:pPr>
    <w:rPr>
      <w:rFonts w:ascii="Calibri" w:eastAsia="Times New Roman" w:hAnsi="Calibri" w:cs="Calibri"/>
    </w:rPr>
  </w:style>
  <w:style w:type="paragraph" w:customStyle="1" w:styleId="410">
    <w:name w:val="Заголовок 41"/>
    <w:basedOn w:val="a"/>
    <w:uiPriority w:val="1"/>
    <w:qFormat/>
    <w:rsid w:val="003E0BC6"/>
    <w:pPr>
      <w:ind w:left="100" w:right="105"/>
      <w:outlineLvl w:val="4"/>
    </w:pPr>
    <w:rPr>
      <w:rFonts w:ascii="Book Antiqua" w:eastAsia="Times New Roman" w:hAnsi="Book Antiqua" w:cs="Book Antiqua"/>
      <w:b/>
      <w:bCs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3E0BC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7">
    <w:name w:val="Table Grid"/>
    <w:basedOn w:val="a1"/>
    <w:uiPriority w:val="59"/>
    <w:rsid w:val="00A22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A229A6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A229A6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A229A6"/>
    <w:rPr>
      <w:color w:val="0000FF"/>
      <w:u w:val="single"/>
    </w:rPr>
  </w:style>
  <w:style w:type="paragraph" w:customStyle="1" w:styleId="articleparagraph">
    <w:name w:val="_article_paragraph"/>
    <w:basedOn w:val="a"/>
    <w:rsid w:val="008833B4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82F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0BC6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E0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0BC6"/>
    <w:pPr>
      <w:widowControl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E0BC6"/>
    <w:rPr>
      <w:rFonts w:cs="Times New Roman"/>
      <w:b/>
      <w:bCs/>
    </w:rPr>
  </w:style>
  <w:style w:type="paragraph" w:styleId="a4">
    <w:name w:val="Body Text"/>
    <w:basedOn w:val="a"/>
    <w:link w:val="a5"/>
    <w:uiPriority w:val="1"/>
    <w:qFormat/>
    <w:rsid w:val="003E0BC6"/>
    <w:pPr>
      <w:spacing w:line="274" w:lineRule="exact"/>
      <w:ind w:left="100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E0B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E0BC6"/>
    <w:pPr>
      <w:spacing w:line="275" w:lineRule="exact"/>
      <w:ind w:left="100"/>
    </w:pPr>
    <w:rPr>
      <w:rFonts w:eastAsia="Times New Roman" w:cs="Times New Roman"/>
    </w:rPr>
  </w:style>
  <w:style w:type="paragraph" w:customStyle="1" w:styleId="11">
    <w:name w:val="Заголовок 11"/>
    <w:basedOn w:val="a"/>
    <w:uiPriority w:val="1"/>
    <w:qFormat/>
    <w:rsid w:val="003E0BC6"/>
    <w:pPr>
      <w:spacing w:before="1" w:line="275" w:lineRule="exact"/>
      <w:ind w:left="4564" w:right="1157"/>
      <w:outlineLvl w:val="1"/>
    </w:pPr>
    <w:rPr>
      <w:rFonts w:eastAsia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0BC6"/>
    <w:pPr>
      <w:spacing w:line="255" w:lineRule="exact"/>
      <w:ind w:left="105"/>
    </w:pPr>
    <w:rPr>
      <w:rFonts w:eastAsia="Times New Roman" w:cs="Times New Roman"/>
    </w:rPr>
  </w:style>
  <w:style w:type="paragraph" w:customStyle="1" w:styleId="110">
    <w:name w:val="Оглавление 11"/>
    <w:basedOn w:val="a"/>
    <w:uiPriority w:val="1"/>
    <w:qFormat/>
    <w:rsid w:val="003E0BC6"/>
    <w:pPr>
      <w:spacing w:before="181"/>
      <w:ind w:right="119"/>
      <w:jc w:val="right"/>
    </w:pPr>
    <w:rPr>
      <w:rFonts w:ascii="Century Gothic" w:eastAsia="Times New Roman" w:hAnsi="Century Gothic" w:cs="Century Gothic"/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3E0BC6"/>
    <w:pPr>
      <w:spacing w:before="221" w:line="236" w:lineRule="exact"/>
      <w:ind w:left="103" w:right="105"/>
    </w:pPr>
    <w:rPr>
      <w:rFonts w:ascii="Bookman Old Style" w:eastAsia="Times New Roman" w:hAnsi="Bookman Old Style" w:cs="Bookman Old Style"/>
      <w:sz w:val="21"/>
      <w:szCs w:val="21"/>
    </w:rPr>
  </w:style>
  <w:style w:type="paragraph" w:customStyle="1" w:styleId="31">
    <w:name w:val="Оглавление 31"/>
    <w:basedOn w:val="a"/>
    <w:uiPriority w:val="1"/>
    <w:qFormat/>
    <w:rsid w:val="003E0BC6"/>
    <w:pPr>
      <w:spacing w:line="236" w:lineRule="exact"/>
      <w:ind w:left="103"/>
    </w:pPr>
    <w:rPr>
      <w:rFonts w:eastAsia="Times New Roman" w:cs="Times New Roman"/>
      <w:i/>
      <w:sz w:val="21"/>
      <w:szCs w:val="21"/>
    </w:rPr>
  </w:style>
  <w:style w:type="paragraph" w:customStyle="1" w:styleId="41">
    <w:name w:val="Оглавление 41"/>
    <w:basedOn w:val="a"/>
    <w:uiPriority w:val="1"/>
    <w:qFormat/>
    <w:rsid w:val="003E0BC6"/>
    <w:pPr>
      <w:spacing w:line="225" w:lineRule="exact"/>
      <w:ind w:left="103" w:right="105"/>
    </w:pPr>
    <w:rPr>
      <w:rFonts w:ascii="Bookman Old Style" w:eastAsia="Times New Roman" w:hAnsi="Bookman Old Style" w:cs="Bookman Old Style"/>
      <w:b/>
      <w:bCs/>
      <w:i/>
    </w:rPr>
  </w:style>
  <w:style w:type="paragraph" w:customStyle="1" w:styleId="51">
    <w:name w:val="Оглавление 51"/>
    <w:basedOn w:val="a"/>
    <w:uiPriority w:val="1"/>
    <w:qFormat/>
    <w:rsid w:val="003E0BC6"/>
    <w:pPr>
      <w:spacing w:line="236" w:lineRule="exact"/>
      <w:ind w:left="389"/>
    </w:pPr>
    <w:rPr>
      <w:rFonts w:ascii="Bookman Old Style" w:eastAsia="Times New Roman" w:hAnsi="Bookman Old Style" w:cs="Bookman Old Style"/>
      <w:sz w:val="21"/>
      <w:szCs w:val="21"/>
    </w:rPr>
  </w:style>
  <w:style w:type="paragraph" w:customStyle="1" w:styleId="61">
    <w:name w:val="Оглавление 61"/>
    <w:basedOn w:val="a"/>
    <w:uiPriority w:val="1"/>
    <w:qFormat/>
    <w:rsid w:val="003E0BC6"/>
    <w:pPr>
      <w:spacing w:line="236" w:lineRule="exact"/>
      <w:ind w:left="672"/>
    </w:pPr>
    <w:rPr>
      <w:rFonts w:ascii="Bookman Old Style" w:eastAsia="Times New Roman" w:hAnsi="Bookman Old Style" w:cs="Bookman Old Style"/>
      <w:sz w:val="21"/>
      <w:szCs w:val="21"/>
    </w:rPr>
  </w:style>
  <w:style w:type="paragraph" w:customStyle="1" w:styleId="210">
    <w:name w:val="Заголовок 21"/>
    <w:basedOn w:val="a"/>
    <w:uiPriority w:val="1"/>
    <w:qFormat/>
    <w:rsid w:val="003E0BC6"/>
    <w:pPr>
      <w:ind w:left="897" w:right="105"/>
      <w:outlineLvl w:val="2"/>
    </w:pPr>
    <w:rPr>
      <w:rFonts w:ascii="Tahoma" w:eastAsia="Times New Roman" w:hAnsi="Tahoma" w:cs="Tahoma"/>
      <w:sz w:val="26"/>
      <w:szCs w:val="26"/>
    </w:rPr>
  </w:style>
  <w:style w:type="paragraph" w:customStyle="1" w:styleId="310">
    <w:name w:val="Заголовок 31"/>
    <w:basedOn w:val="a"/>
    <w:uiPriority w:val="1"/>
    <w:qFormat/>
    <w:rsid w:val="003E0BC6"/>
    <w:pPr>
      <w:ind w:left="897" w:right="105"/>
      <w:outlineLvl w:val="3"/>
    </w:pPr>
    <w:rPr>
      <w:rFonts w:ascii="Calibri" w:eastAsia="Times New Roman" w:hAnsi="Calibri" w:cs="Calibri"/>
    </w:rPr>
  </w:style>
  <w:style w:type="paragraph" w:customStyle="1" w:styleId="410">
    <w:name w:val="Заголовок 41"/>
    <w:basedOn w:val="a"/>
    <w:uiPriority w:val="1"/>
    <w:qFormat/>
    <w:rsid w:val="003E0BC6"/>
    <w:pPr>
      <w:ind w:left="100" w:right="105"/>
      <w:outlineLvl w:val="4"/>
    </w:pPr>
    <w:rPr>
      <w:rFonts w:ascii="Book Antiqua" w:eastAsia="Times New Roman" w:hAnsi="Book Antiqua" w:cs="Book Antiqua"/>
      <w:b/>
      <w:bCs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3E0BC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7">
    <w:name w:val="Table Grid"/>
    <w:basedOn w:val="a1"/>
    <w:uiPriority w:val="59"/>
    <w:rsid w:val="00A22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A229A6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A229A6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A229A6"/>
    <w:rPr>
      <w:color w:val="0000FF"/>
      <w:u w:val="single"/>
    </w:rPr>
  </w:style>
  <w:style w:type="paragraph" w:customStyle="1" w:styleId="articleparagraph">
    <w:name w:val="_article_paragraph"/>
    <w:basedOn w:val="a"/>
    <w:rsid w:val="008833B4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82F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krtn.ru/tehnicheskaya-podderzhka-is-ep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nadzor.ru/activity/attestation/tes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nadzor.ru/eptb/" TargetMode="External"/><Relationship Id="rId11" Type="http://schemas.openxmlformats.org/officeDocument/2006/relationships/hyperlink" Target="https://&#1073;&#1083;&#1086;&#1075;-&#1080;&#1085;&#1078;&#1077;&#1085;&#1077;&#1088;&#1072;.&#1088;&#1092;/news/&#1087;&#1088;&#1086;&#1092;&#1077;&#1089;&#1089;&#1080;&#1086;&#1085;&#1072;&#1083;&#1100;&#1085;&#1086;&#1077;-&#1086;&#1073;&#1088;&#1072;&#1079;&#1086;&#1074;&#1072;&#1085;&#1080;&#1077;-&#1088;&#1090;&#1085;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ulation.gov.ru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krtn.ru/wp-content/uploads/2019/09/Rules_ConnectingEP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A945-A529-46E2-AF19-6B091373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Подберезина</dc:creator>
  <cp:lastModifiedBy>43</cp:lastModifiedBy>
  <cp:revision>5</cp:revision>
  <cp:lastPrinted>2019-11-25T10:31:00Z</cp:lastPrinted>
  <dcterms:created xsi:type="dcterms:W3CDTF">2019-11-08T07:47:00Z</dcterms:created>
  <dcterms:modified xsi:type="dcterms:W3CDTF">2019-11-25T10:31:00Z</dcterms:modified>
</cp:coreProperties>
</file>